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9E61" w14:textId="77777777" w:rsidR="00082846" w:rsidRDefault="00E0099D" w:rsidP="00573DE2">
      <w:pPr>
        <w:rPr>
          <w:rFonts w:ascii="Verdana" w:hAnsi="Verdana"/>
          <w:b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E5FC571" wp14:editId="0B26443D">
            <wp:simplePos x="0" y="0"/>
            <wp:positionH relativeFrom="page">
              <wp:posOffset>1485900</wp:posOffset>
            </wp:positionH>
            <wp:positionV relativeFrom="page">
              <wp:posOffset>656590</wp:posOffset>
            </wp:positionV>
            <wp:extent cx="851803" cy="5200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3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3CF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26014A17">
            <wp:simplePos x="0" y="0"/>
            <wp:positionH relativeFrom="column">
              <wp:posOffset>28575</wp:posOffset>
            </wp:positionH>
            <wp:positionV relativeFrom="paragraph">
              <wp:posOffset>56515</wp:posOffset>
            </wp:positionV>
            <wp:extent cx="914400" cy="596265"/>
            <wp:effectExtent l="0" t="0" r="0" b="0"/>
            <wp:wrapSquare wrapText="bothSides"/>
            <wp:docPr id="2" name="Picture 2" descr="BHc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ar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DE2">
        <w:rPr>
          <w:rFonts w:ascii="Verdana" w:hAnsi="Verdana"/>
          <w:b/>
          <w:sz w:val="24"/>
          <w:szCs w:val="24"/>
        </w:rPr>
        <w:br w:type="textWrapping" w:clear="all"/>
      </w:r>
    </w:p>
    <w:p w14:paraId="5775D2F7" w14:textId="77777777" w:rsidR="00082846" w:rsidRDefault="008C5368" w:rsidP="00E0099D">
      <w:pPr>
        <w:jc w:val="center"/>
        <w:rPr>
          <w:b/>
          <w:bCs/>
        </w:rPr>
      </w:pPr>
      <w:r w:rsidRPr="008C5368">
        <w:rPr>
          <w:rFonts w:ascii="Verdana" w:hAnsi="Verdana"/>
          <w:b/>
          <w:sz w:val="24"/>
          <w:szCs w:val="24"/>
        </w:rPr>
        <w:t>Sliding Fee Scale</w:t>
      </w:r>
    </w:p>
    <w:p w14:paraId="5E2B44F1" w14:textId="77777777" w:rsidR="00A023FE" w:rsidRPr="008C5368" w:rsidRDefault="00A023FE" w:rsidP="00A023FE">
      <w:pPr>
        <w:spacing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14:paraId="3D00AB04" w14:textId="77777777" w:rsidR="00A023FE" w:rsidRPr="00B620CE" w:rsidRDefault="00082846" w:rsidP="00E0099D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B620CE">
        <w:rPr>
          <w:rFonts w:ascii="Verdana" w:hAnsi="Verdana"/>
          <w:sz w:val="20"/>
          <w:szCs w:val="20"/>
        </w:rPr>
        <w:t>Bhcare maintains a standard procedure for qualifying clients</w:t>
      </w:r>
      <w:r w:rsidR="00573DE2" w:rsidRPr="00B620CE">
        <w:rPr>
          <w:rFonts w:ascii="Verdana" w:hAnsi="Verdana"/>
          <w:sz w:val="20"/>
          <w:szCs w:val="20"/>
        </w:rPr>
        <w:t xml:space="preserve"> to reduce fees</w:t>
      </w:r>
      <w:r w:rsidRPr="00B620CE">
        <w:rPr>
          <w:rFonts w:ascii="Verdana" w:hAnsi="Verdana"/>
          <w:sz w:val="20"/>
          <w:szCs w:val="20"/>
        </w:rPr>
        <w:t xml:space="preserve"> </w:t>
      </w:r>
      <w:r w:rsidR="00573DE2" w:rsidRPr="00B620CE">
        <w:rPr>
          <w:rFonts w:ascii="Verdana" w:hAnsi="Verdana"/>
          <w:sz w:val="20"/>
          <w:szCs w:val="20"/>
        </w:rPr>
        <w:t>based on family size and income. The</w:t>
      </w:r>
      <w:r w:rsidRPr="00B620CE">
        <w:rPr>
          <w:rFonts w:ascii="Verdana" w:hAnsi="Verdana"/>
          <w:sz w:val="20"/>
          <w:szCs w:val="20"/>
        </w:rPr>
        <w:t xml:space="preserve"> Sliding </w:t>
      </w:r>
      <w:r w:rsidR="00573DE2" w:rsidRPr="00B620CE">
        <w:rPr>
          <w:rFonts w:ascii="Verdana" w:hAnsi="Verdana"/>
          <w:sz w:val="20"/>
          <w:szCs w:val="20"/>
        </w:rPr>
        <w:t>Fee S</w:t>
      </w:r>
      <w:r w:rsidRPr="00B620CE">
        <w:rPr>
          <w:rFonts w:ascii="Verdana" w:hAnsi="Verdana"/>
          <w:sz w:val="20"/>
          <w:szCs w:val="20"/>
        </w:rPr>
        <w:t xml:space="preserve">cale </w:t>
      </w:r>
      <w:r w:rsidR="00573DE2" w:rsidRPr="00B620CE">
        <w:rPr>
          <w:rFonts w:ascii="Verdana" w:hAnsi="Verdana"/>
          <w:sz w:val="20"/>
          <w:szCs w:val="20"/>
        </w:rPr>
        <w:t xml:space="preserve">is </w:t>
      </w:r>
      <w:r w:rsidRPr="00B620CE">
        <w:rPr>
          <w:rFonts w:ascii="Verdana" w:hAnsi="Verdana"/>
          <w:sz w:val="20"/>
          <w:szCs w:val="20"/>
        </w:rPr>
        <w:t xml:space="preserve">available to </w:t>
      </w:r>
      <w:r w:rsidR="00573DE2" w:rsidRPr="00B620CE">
        <w:rPr>
          <w:rFonts w:ascii="Verdana" w:hAnsi="Verdana"/>
          <w:sz w:val="20"/>
          <w:szCs w:val="20"/>
        </w:rPr>
        <w:t xml:space="preserve">uninsured </w:t>
      </w:r>
      <w:r w:rsidRPr="00B620CE">
        <w:rPr>
          <w:rFonts w:ascii="Verdana" w:hAnsi="Verdana"/>
          <w:sz w:val="20"/>
          <w:szCs w:val="20"/>
        </w:rPr>
        <w:t xml:space="preserve">clients with incomes at or below the federal poverty guidelines. </w:t>
      </w:r>
    </w:p>
    <w:p w14:paraId="5DAD8DA5" w14:textId="77777777" w:rsidR="008C5368" w:rsidRPr="00B620CE" w:rsidRDefault="008C5368" w:rsidP="00A97D2D">
      <w:pPr>
        <w:spacing w:line="240" w:lineRule="auto"/>
        <w:rPr>
          <w:rFonts w:ascii="Verdana" w:hAnsi="Verdana"/>
          <w:sz w:val="20"/>
          <w:szCs w:val="20"/>
        </w:rPr>
      </w:pPr>
    </w:p>
    <w:p w14:paraId="661FE0EF" w14:textId="77777777" w:rsidR="00A023FE" w:rsidRPr="008C5368" w:rsidRDefault="00A023FE" w:rsidP="00A023FE">
      <w:pPr>
        <w:pStyle w:val="ListParagraph"/>
        <w:tabs>
          <w:tab w:val="left" w:pos="3180"/>
        </w:tabs>
        <w:spacing w:line="240" w:lineRule="auto"/>
        <w:rPr>
          <w:rFonts w:ascii="Verdana" w:hAnsi="Verdana"/>
          <w:sz w:val="18"/>
          <w:szCs w:val="18"/>
        </w:rPr>
      </w:pPr>
      <w:r w:rsidRPr="008C5368">
        <w:rPr>
          <w:rFonts w:ascii="Verdana" w:hAnsi="Verdana"/>
          <w:sz w:val="18"/>
          <w:szCs w:val="18"/>
        </w:rPr>
        <w:tab/>
      </w:r>
    </w:p>
    <w:tbl>
      <w:tblPr>
        <w:tblW w:w="9810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342"/>
        <w:gridCol w:w="1710"/>
        <w:gridCol w:w="1710"/>
        <w:gridCol w:w="4050"/>
      </w:tblGrid>
      <w:tr w:rsidR="00A023FE" w:rsidRPr="008C5368" w14:paraId="1A9F11CF" w14:textId="77777777" w:rsidTr="00B620CE">
        <w:trPr>
          <w:trHeight w:val="420"/>
        </w:trPr>
        <w:tc>
          <w:tcPr>
            <w:tcW w:w="2340" w:type="dxa"/>
            <w:gridSpan w:val="2"/>
            <w:vMerge w:val="restart"/>
            <w:shd w:val="clear" w:color="auto" w:fill="E5DFEC"/>
            <w:vAlign w:val="center"/>
          </w:tcPr>
          <w:p w14:paraId="70052389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sz w:val="18"/>
                <w:szCs w:val="18"/>
              </w:rPr>
              <w:t>Household income</w:t>
            </w:r>
          </w:p>
        </w:tc>
        <w:tc>
          <w:tcPr>
            <w:tcW w:w="3420" w:type="dxa"/>
            <w:gridSpan w:val="2"/>
            <w:vAlign w:val="center"/>
          </w:tcPr>
          <w:p w14:paraId="1031427F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sz w:val="18"/>
                <w:szCs w:val="18"/>
              </w:rPr>
              <w:t>ALL SERVICES</w:t>
            </w:r>
          </w:p>
          <w:p w14:paraId="4CD0C233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i/>
                <w:sz w:val="18"/>
                <w:szCs w:val="18"/>
              </w:rPr>
              <w:t># in household</w:t>
            </w:r>
          </w:p>
        </w:tc>
        <w:tc>
          <w:tcPr>
            <w:tcW w:w="4050" w:type="dxa"/>
            <w:vMerge w:val="restart"/>
            <w:shd w:val="clear" w:color="auto" w:fill="E5DFEC"/>
          </w:tcPr>
          <w:p w14:paraId="7FB703FA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B208BC7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sz w:val="18"/>
                <w:szCs w:val="18"/>
              </w:rPr>
              <w:t>If percentage Is used</w:t>
            </w:r>
          </w:p>
        </w:tc>
      </w:tr>
      <w:tr w:rsidR="00A023FE" w:rsidRPr="008C5368" w14:paraId="4B84D8E2" w14:textId="77777777" w:rsidTr="00B620CE">
        <w:trPr>
          <w:trHeight w:val="125"/>
        </w:trPr>
        <w:tc>
          <w:tcPr>
            <w:tcW w:w="2340" w:type="dxa"/>
            <w:gridSpan w:val="2"/>
            <w:vMerge/>
            <w:shd w:val="clear" w:color="auto" w:fill="E5DFEC"/>
            <w:vAlign w:val="center"/>
          </w:tcPr>
          <w:p w14:paraId="637AF4BC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F0BB585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="00B13A78" w:rsidRPr="008C5368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Pr="008C5368">
              <w:rPr>
                <w:rFonts w:ascii="Verdana" w:hAnsi="Verdana"/>
                <w:b/>
                <w:sz w:val="18"/>
                <w:szCs w:val="18"/>
              </w:rPr>
              <w:t xml:space="preserve">2                         3+   </w:t>
            </w:r>
          </w:p>
        </w:tc>
        <w:tc>
          <w:tcPr>
            <w:tcW w:w="4050" w:type="dxa"/>
            <w:vMerge/>
            <w:shd w:val="clear" w:color="auto" w:fill="E5DFEC"/>
          </w:tcPr>
          <w:p w14:paraId="7F3FBEBA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3FE" w:rsidRPr="008C5368" w14:paraId="3317EAD0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428144EC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$0</w:t>
            </w:r>
          </w:p>
        </w:tc>
        <w:tc>
          <w:tcPr>
            <w:tcW w:w="1342" w:type="dxa"/>
            <w:shd w:val="clear" w:color="auto" w:fill="E5DFEC"/>
          </w:tcPr>
          <w:p w14:paraId="743DDE02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$12,490</w:t>
            </w:r>
          </w:p>
        </w:tc>
        <w:tc>
          <w:tcPr>
            <w:tcW w:w="1710" w:type="dxa"/>
          </w:tcPr>
          <w:p w14:paraId="047AEF7C" w14:textId="77777777" w:rsidR="00A023FE" w:rsidRPr="008C5368" w:rsidRDefault="00A023FE" w:rsidP="00B13A78">
            <w:pPr>
              <w:pStyle w:val="ListParagraph"/>
              <w:tabs>
                <w:tab w:val="center" w:pos="1215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710" w:type="dxa"/>
            <w:shd w:val="clear" w:color="auto" w:fill="E5DFEC"/>
          </w:tcPr>
          <w:p w14:paraId="7B422C27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050" w:type="dxa"/>
            <w:shd w:val="clear" w:color="auto" w:fill="E5DFEC"/>
          </w:tcPr>
          <w:p w14:paraId="34A4D8A4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5%</w:t>
            </w:r>
          </w:p>
        </w:tc>
      </w:tr>
      <w:tr w:rsidR="00A023FE" w:rsidRPr="008C5368" w14:paraId="25FC6AD1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3798023B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$12,491</w:t>
            </w:r>
          </w:p>
        </w:tc>
        <w:tc>
          <w:tcPr>
            <w:tcW w:w="1342" w:type="dxa"/>
            <w:shd w:val="clear" w:color="auto" w:fill="E5DFEC"/>
          </w:tcPr>
          <w:p w14:paraId="5D9A7503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$23,999</w:t>
            </w:r>
          </w:p>
        </w:tc>
        <w:tc>
          <w:tcPr>
            <w:tcW w:w="1710" w:type="dxa"/>
          </w:tcPr>
          <w:p w14:paraId="0987DD4B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710" w:type="dxa"/>
            <w:shd w:val="clear" w:color="auto" w:fill="E5DFEC"/>
          </w:tcPr>
          <w:p w14:paraId="3C413A9F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050" w:type="dxa"/>
            <w:shd w:val="clear" w:color="auto" w:fill="E5DFEC"/>
          </w:tcPr>
          <w:p w14:paraId="2D72BE54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6%-9%</w:t>
            </w:r>
          </w:p>
        </w:tc>
      </w:tr>
      <w:tr w:rsidR="00A023FE" w:rsidRPr="008C5368" w14:paraId="786FEF58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5F9AA6A5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$24,000</w:t>
            </w:r>
          </w:p>
        </w:tc>
        <w:tc>
          <w:tcPr>
            <w:tcW w:w="1342" w:type="dxa"/>
            <w:shd w:val="clear" w:color="auto" w:fill="E5DFEC"/>
          </w:tcPr>
          <w:p w14:paraId="4AF7F629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$28,999</w:t>
            </w:r>
          </w:p>
        </w:tc>
        <w:tc>
          <w:tcPr>
            <w:tcW w:w="1710" w:type="dxa"/>
          </w:tcPr>
          <w:p w14:paraId="25AB6427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710" w:type="dxa"/>
            <w:shd w:val="clear" w:color="auto" w:fill="E5DFEC"/>
          </w:tcPr>
          <w:p w14:paraId="3B2DFD2B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050" w:type="dxa"/>
            <w:shd w:val="clear" w:color="auto" w:fill="E5DFEC"/>
          </w:tcPr>
          <w:p w14:paraId="6E561BA8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10%-20%</w:t>
            </w:r>
          </w:p>
        </w:tc>
      </w:tr>
      <w:tr w:rsidR="00A023FE" w:rsidRPr="008C5368" w14:paraId="6741BA04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793DF1C9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$29,000</w:t>
            </w:r>
          </w:p>
        </w:tc>
        <w:tc>
          <w:tcPr>
            <w:tcW w:w="1342" w:type="dxa"/>
            <w:shd w:val="clear" w:color="auto" w:fill="E5DFEC"/>
          </w:tcPr>
          <w:p w14:paraId="58719EBC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$33,999</w:t>
            </w:r>
          </w:p>
        </w:tc>
        <w:tc>
          <w:tcPr>
            <w:tcW w:w="1710" w:type="dxa"/>
          </w:tcPr>
          <w:p w14:paraId="19E36FBC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E5DFEC"/>
          </w:tcPr>
          <w:p w14:paraId="4542462E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050" w:type="dxa"/>
            <w:shd w:val="clear" w:color="auto" w:fill="E5DFEC"/>
          </w:tcPr>
          <w:p w14:paraId="1A8B261C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21%-25%</w:t>
            </w:r>
          </w:p>
        </w:tc>
      </w:tr>
      <w:tr w:rsidR="00A023FE" w:rsidRPr="008C5368" w14:paraId="1E564096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5F8A0DFB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$34,000</w:t>
            </w:r>
          </w:p>
        </w:tc>
        <w:tc>
          <w:tcPr>
            <w:tcW w:w="1342" w:type="dxa"/>
            <w:shd w:val="clear" w:color="auto" w:fill="E5DFEC"/>
          </w:tcPr>
          <w:p w14:paraId="4E4750EA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$37,999</w:t>
            </w:r>
          </w:p>
        </w:tc>
        <w:tc>
          <w:tcPr>
            <w:tcW w:w="1710" w:type="dxa"/>
          </w:tcPr>
          <w:p w14:paraId="20F80F14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1710" w:type="dxa"/>
            <w:shd w:val="clear" w:color="auto" w:fill="E5DFEC"/>
          </w:tcPr>
          <w:p w14:paraId="67674595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4050" w:type="dxa"/>
            <w:shd w:val="clear" w:color="auto" w:fill="E5DFEC"/>
          </w:tcPr>
          <w:p w14:paraId="7FE564BA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26%-29%</w:t>
            </w:r>
          </w:p>
        </w:tc>
      </w:tr>
      <w:tr w:rsidR="00A023FE" w:rsidRPr="008C5368" w14:paraId="16B4E141" w14:textId="77777777" w:rsidTr="00B620CE">
        <w:trPr>
          <w:trHeight w:val="377"/>
        </w:trPr>
        <w:tc>
          <w:tcPr>
            <w:tcW w:w="998" w:type="dxa"/>
            <w:shd w:val="clear" w:color="auto" w:fill="E5DFEC"/>
          </w:tcPr>
          <w:p w14:paraId="6DF88EA2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$38,000</w:t>
            </w:r>
          </w:p>
        </w:tc>
        <w:tc>
          <w:tcPr>
            <w:tcW w:w="1342" w:type="dxa"/>
            <w:shd w:val="clear" w:color="auto" w:fill="E5DFEC"/>
          </w:tcPr>
          <w:p w14:paraId="7384DC60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$43,999</w:t>
            </w:r>
          </w:p>
        </w:tc>
        <w:tc>
          <w:tcPr>
            <w:tcW w:w="1710" w:type="dxa"/>
          </w:tcPr>
          <w:p w14:paraId="4B075512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1710" w:type="dxa"/>
            <w:shd w:val="clear" w:color="auto" w:fill="E5DFEC"/>
          </w:tcPr>
          <w:p w14:paraId="735779AA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4050" w:type="dxa"/>
            <w:shd w:val="clear" w:color="auto" w:fill="E5DFEC"/>
          </w:tcPr>
          <w:p w14:paraId="7DE35EB2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30%-34%</w:t>
            </w:r>
          </w:p>
        </w:tc>
      </w:tr>
      <w:tr w:rsidR="00A023FE" w:rsidRPr="008C5368" w14:paraId="5C1C607D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34324791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$44,000</w:t>
            </w:r>
          </w:p>
        </w:tc>
        <w:tc>
          <w:tcPr>
            <w:tcW w:w="1342" w:type="dxa"/>
            <w:shd w:val="clear" w:color="auto" w:fill="E5DFEC"/>
          </w:tcPr>
          <w:p w14:paraId="07F04E0F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$54,999</w:t>
            </w:r>
          </w:p>
        </w:tc>
        <w:tc>
          <w:tcPr>
            <w:tcW w:w="1710" w:type="dxa"/>
          </w:tcPr>
          <w:p w14:paraId="28EF5AC2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1710" w:type="dxa"/>
            <w:shd w:val="clear" w:color="auto" w:fill="E5DFEC"/>
          </w:tcPr>
          <w:p w14:paraId="01799EFE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4050" w:type="dxa"/>
            <w:shd w:val="clear" w:color="auto" w:fill="E5DFEC"/>
          </w:tcPr>
          <w:p w14:paraId="31D539EF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35%-44%</w:t>
            </w:r>
          </w:p>
        </w:tc>
      </w:tr>
      <w:tr w:rsidR="00A023FE" w:rsidRPr="008C5368" w14:paraId="1A2A4B5F" w14:textId="77777777" w:rsidTr="00B620CE">
        <w:trPr>
          <w:trHeight w:val="23"/>
        </w:trPr>
        <w:tc>
          <w:tcPr>
            <w:tcW w:w="998" w:type="dxa"/>
            <w:shd w:val="clear" w:color="auto" w:fill="E5DFEC"/>
          </w:tcPr>
          <w:p w14:paraId="47AE7882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$55,000</w:t>
            </w:r>
          </w:p>
        </w:tc>
        <w:tc>
          <w:tcPr>
            <w:tcW w:w="1342" w:type="dxa"/>
            <w:shd w:val="clear" w:color="auto" w:fill="E5DFEC"/>
          </w:tcPr>
          <w:p w14:paraId="0B51F456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$84,999</w:t>
            </w:r>
          </w:p>
        </w:tc>
        <w:tc>
          <w:tcPr>
            <w:tcW w:w="1710" w:type="dxa"/>
          </w:tcPr>
          <w:p w14:paraId="62174A4D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85</w:t>
            </w:r>
          </w:p>
        </w:tc>
        <w:tc>
          <w:tcPr>
            <w:tcW w:w="1710" w:type="dxa"/>
            <w:shd w:val="clear" w:color="auto" w:fill="E5DFEC"/>
          </w:tcPr>
          <w:p w14:paraId="328A5B9E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4050" w:type="dxa"/>
            <w:shd w:val="clear" w:color="auto" w:fill="E5DFEC"/>
          </w:tcPr>
          <w:p w14:paraId="00E9889B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46%-55%</w:t>
            </w:r>
          </w:p>
        </w:tc>
      </w:tr>
      <w:tr w:rsidR="00A023FE" w:rsidRPr="008C5368" w14:paraId="409C5E72" w14:textId="77777777" w:rsidTr="00B620CE">
        <w:trPr>
          <w:trHeight w:val="530"/>
        </w:trPr>
        <w:tc>
          <w:tcPr>
            <w:tcW w:w="2340" w:type="dxa"/>
            <w:gridSpan w:val="2"/>
            <w:shd w:val="clear" w:color="auto" w:fill="E5DFEC"/>
            <w:vAlign w:val="center"/>
          </w:tcPr>
          <w:p w14:paraId="639A43AB" w14:textId="77777777" w:rsidR="00A023FE" w:rsidRPr="008C5368" w:rsidRDefault="00A023FE" w:rsidP="00B13A7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C5368">
              <w:rPr>
                <w:rFonts w:ascii="Verdana" w:hAnsi="Verdana"/>
                <w:sz w:val="18"/>
                <w:szCs w:val="18"/>
              </w:rPr>
              <w:t>Over $85,000</w:t>
            </w:r>
          </w:p>
        </w:tc>
        <w:tc>
          <w:tcPr>
            <w:tcW w:w="3420" w:type="dxa"/>
            <w:gridSpan w:val="2"/>
          </w:tcPr>
          <w:p w14:paraId="3022D964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i/>
                <w:sz w:val="18"/>
                <w:szCs w:val="18"/>
              </w:rPr>
              <w:t>Fees vary and may be negotiated.  Fees are not to be less than $15 per visit.</w:t>
            </w:r>
          </w:p>
          <w:p w14:paraId="43FAA074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i/>
                <w:sz w:val="18"/>
                <w:szCs w:val="18"/>
              </w:rPr>
              <w:t>Refer to fee schedule for 100% rate on all services</w:t>
            </w:r>
          </w:p>
        </w:tc>
        <w:tc>
          <w:tcPr>
            <w:tcW w:w="4050" w:type="dxa"/>
          </w:tcPr>
          <w:p w14:paraId="00EA54CA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sz w:val="18"/>
                <w:szCs w:val="18"/>
              </w:rPr>
              <w:t>**No proof of income or lack thereof will result in highest sliding scale fee.</w:t>
            </w:r>
          </w:p>
          <w:p w14:paraId="38C38A45" w14:textId="77777777" w:rsidR="00A023FE" w:rsidRPr="008C5368" w:rsidRDefault="00A023FE" w:rsidP="009526F1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5368">
              <w:rPr>
                <w:rFonts w:ascii="Verdana" w:hAnsi="Verdana"/>
                <w:b/>
                <w:sz w:val="18"/>
                <w:szCs w:val="18"/>
              </w:rPr>
              <w:t>The above is based on the range of fees outlined on Sliding Fee Scale</w:t>
            </w:r>
          </w:p>
        </w:tc>
      </w:tr>
    </w:tbl>
    <w:p w14:paraId="49E01780" w14:textId="77777777" w:rsidR="00EE29F8" w:rsidRDefault="00EE29F8">
      <w:pPr>
        <w:rPr>
          <w:rFonts w:ascii="Verdana" w:hAnsi="Verdana"/>
        </w:rPr>
      </w:pPr>
    </w:p>
    <w:p w14:paraId="34F26C68" w14:textId="77777777" w:rsidR="004B7A84" w:rsidRPr="00573DE2" w:rsidRDefault="00082846" w:rsidP="004B7A8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212529"/>
          <w:sz w:val="20"/>
          <w:szCs w:val="20"/>
        </w:rPr>
      </w:pPr>
      <w:r w:rsidRPr="00573DE2">
        <w:rPr>
          <w:rFonts w:ascii="Verdana" w:hAnsi="Verdana" w:cs="Arial"/>
          <w:b/>
          <w:color w:val="212529"/>
          <w:sz w:val="20"/>
          <w:szCs w:val="20"/>
        </w:rPr>
        <w:t xml:space="preserve">How to Apply: </w:t>
      </w:r>
    </w:p>
    <w:p w14:paraId="5335A2A1" w14:textId="77777777" w:rsidR="00082846" w:rsidRPr="00573DE2" w:rsidRDefault="00082846" w:rsidP="004B7A8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212529"/>
          <w:sz w:val="20"/>
          <w:szCs w:val="20"/>
        </w:rPr>
      </w:pPr>
      <w:r w:rsidRPr="00573DE2">
        <w:rPr>
          <w:rFonts w:ascii="Verdana" w:hAnsi="Verdana" w:cs="Arial"/>
          <w:color w:val="212529"/>
          <w:sz w:val="20"/>
          <w:szCs w:val="20"/>
        </w:rPr>
        <w:t xml:space="preserve">Clients who wish to apply for the program will need to complete </w:t>
      </w:r>
      <w:r w:rsidR="004B7A84" w:rsidRPr="00573DE2">
        <w:rPr>
          <w:rFonts w:ascii="Verdana" w:hAnsi="Verdana" w:cs="Arial"/>
          <w:color w:val="212529"/>
          <w:sz w:val="20"/>
          <w:szCs w:val="20"/>
        </w:rPr>
        <w:t xml:space="preserve">a </w:t>
      </w:r>
      <w:r w:rsidRPr="00573DE2">
        <w:rPr>
          <w:rFonts w:ascii="Verdana" w:hAnsi="Verdana" w:cs="Arial"/>
          <w:color w:val="212529"/>
          <w:sz w:val="20"/>
          <w:szCs w:val="20"/>
        </w:rPr>
        <w:t xml:space="preserve">Sliding Fee Scale </w:t>
      </w:r>
      <w:r w:rsidR="004B7A84" w:rsidRPr="00573DE2">
        <w:rPr>
          <w:rFonts w:ascii="Verdana" w:hAnsi="Verdana" w:cs="Arial"/>
          <w:color w:val="212529"/>
          <w:sz w:val="20"/>
          <w:szCs w:val="20"/>
        </w:rPr>
        <w:t>Application and</w:t>
      </w:r>
      <w:r w:rsidRPr="00573DE2">
        <w:rPr>
          <w:rFonts w:ascii="Verdana" w:hAnsi="Verdana" w:cs="Arial"/>
          <w:color w:val="212529"/>
          <w:sz w:val="20"/>
          <w:szCs w:val="20"/>
        </w:rPr>
        <w:t xml:space="preserve"> provide the required supporting documentation to determine eligibility.</w:t>
      </w:r>
    </w:p>
    <w:p w14:paraId="4BACD3F4" w14:textId="77777777" w:rsidR="00B620CE" w:rsidRDefault="00B620CE" w:rsidP="004B7A8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212529"/>
          <w:sz w:val="20"/>
          <w:szCs w:val="20"/>
        </w:rPr>
      </w:pPr>
    </w:p>
    <w:p w14:paraId="404C0CD6" w14:textId="77777777" w:rsidR="004B7A84" w:rsidRPr="00573DE2" w:rsidRDefault="004B7A84" w:rsidP="004B7A8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212529"/>
          <w:sz w:val="20"/>
          <w:szCs w:val="20"/>
        </w:rPr>
      </w:pPr>
      <w:r w:rsidRPr="00573DE2">
        <w:rPr>
          <w:rFonts w:ascii="Verdana" w:hAnsi="Verdana" w:cs="Arial"/>
          <w:b/>
          <w:color w:val="212529"/>
          <w:sz w:val="20"/>
          <w:szCs w:val="20"/>
        </w:rPr>
        <w:t>Required Documentation:</w:t>
      </w:r>
    </w:p>
    <w:p w14:paraId="40953560" w14:textId="77777777" w:rsidR="00B620CE" w:rsidRPr="00B620CE" w:rsidRDefault="004B7A84" w:rsidP="00FF046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620CE">
        <w:rPr>
          <w:rStyle w:val="Strong"/>
          <w:rFonts w:ascii="Verdana" w:hAnsi="Verdana" w:cs="Arial"/>
          <w:b w:val="0"/>
          <w:color w:val="2D2D2D"/>
          <w:sz w:val="20"/>
          <w:szCs w:val="20"/>
          <w:bdr w:val="none" w:sz="0" w:space="0" w:color="auto" w:frame="1"/>
          <w:shd w:val="clear" w:color="auto" w:fill="FFFFFF"/>
        </w:rPr>
        <w:t>Proof of income</w:t>
      </w:r>
      <w:r w:rsidRPr="00B620CE">
        <w:rPr>
          <w:rFonts w:ascii="Verdana" w:hAnsi="Verdana" w:cs="Arial"/>
          <w:bCs/>
          <w:color w:val="2D2D2D"/>
          <w:sz w:val="20"/>
          <w:szCs w:val="20"/>
          <w:bdr w:val="none" w:sz="0" w:space="0" w:color="auto" w:frame="1"/>
          <w:shd w:val="clear" w:color="auto" w:fill="FFFFFF"/>
        </w:rPr>
        <w:br/>
      </w:r>
      <w:r w:rsidRPr="00B620CE">
        <w:rPr>
          <w:rFonts w:ascii="Verdana" w:hAnsi="Verdana" w:cs="Arial"/>
          <w:color w:val="2D2D2D"/>
          <w:sz w:val="20"/>
          <w:szCs w:val="20"/>
          <w:bdr w:val="none" w:sz="0" w:space="0" w:color="auto" w:frame="1"/>
          <w:shd w:val="clear" w:color="auto" w:fill="FFFFFF"/>
        </w:rPr>
        <w:t>including documentation for all wages earned (pay stubs for 4 consecutive pay periods or your tax return from the previous year), social security, worker’s comp, veteran’s benefits, military pay, child support/alimony</w:t>
      </w:r>
    </w:p>
    <w:p w14:paraId="372D703A" w14:textId="77777777" w:rsidR="004B7A84" w:rsidRPr="00B620CE" w:rsidRDefault="004B7A84" w:rsidP="00FF046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620CE">
        <w:rPr>
          <w:rFonts w:ascii="Verdana" w:hAnsi="Verdana" w:cs="Arial"/>
          <w:color w:val="2D2D2D"/>
          <w:sz w:val="20"/>
          <w:szCs w:val="20"/>
          <w:bdr w:val="none" w:sz="0" w:space="0" w:color="auto" w:frame="1"/>
          <w:shd w:val="clear" w:color="auto" w:fill="FFFFFF"/>
        </w:rPr>
        <w:t>Current Bank Statements</w:t>
      </w:r>
      <w:r w:rsidR="00573DE2" w:rsidRPr="00B620CE">
        <w:rPr>
          <w:rFonts w:ascii="Verdana" w:hAnsi="Verdana" w:cs="Arial"/>
          <w:color w:val="2D2D2D"/>
          <w:sz w:val="20"/>
          <w:szCs w:val="20"/>
          <w:bdr w:val="none" w:sz="0" w:space="0" w:color="auto" w:frame="1"/>
          <w:shd w:val="clear" w:color="auto" w:fill="FFFFFF"/>
        </w:rPr>
        <w:t xml:space="preserve"> (last 30 days)</w:t>
      </w:r>
    </w:p>
    <w:p w14:paraId="65373E6E" w14:textId="77777777" w:rsidR="00B620CE" w:rsidRPr="00B620CE" w:rsidRDefault="00B620CE" w:rsidP="004B7A8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  <w:bdr w:val="none" w:sz="0" w:space="0" w:color="auto" w:frame="1"/>
          <w:shd w:val="clear" w:color="auto" w:fill="FFFFFF"/>
        </w:rPr>
        <w:t>Completed Sliding Fee Application</w:t>
      </w:r>
    </w:p>
    <w:p w14:paraId="1362E83E" w14:textId="77777777" w:rsidR="00B620CE" w:rsidRDefault="00B620CE" w:rsidP="00B620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7443AD" w14:textId="77777777" w:rsidR="00B620CE" w:rsidRPr="00B620CE" w:rsidRDefault="00B620CE" w:rsidP="00B620C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620CE">
        <w:rPr>
          <w:rFonts w:ascii="Verdana" w:hAnsi="Verdana"/>
          <w:b/>
          <w:sz w:val="20"/>
          <w:szCs w:val="20"/>
        </w:rPr>
        <w:t xml:space="preserve">Meeting with a Client Finance Specialist: </w:t>
      </w:r>
    </w:p>
    <w:p w14:paraId="0B5523AF" w14:textId="77777777" w:rsidR="004B7A84" w:rsidRDefault="00B620CE" w:rsidP="000828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Once you have the required documentation, call you perspective clinic to make an appointment with the Client Finance Specialist who will process your application. </w:t>
      </w:r>
    </w:p>
    <w:p w14:paraId="5C46B043" w14:textId="77777777" w:rsidR="00082846" w:rsidRPr="008501F5" w:rsidRDefault="00AB4C2D" w:rsidP="008501F5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color w:val="212529"/>
          <w:sz w:val="23"/>
          <w:szCs w:val="23"/>
        </w:rPr>
      </w:pPr>
      <w:r w:rsidRPr="00AB4C2D">
        <w:rPr>
          <w:rFonts w:ascii="Verdana" w:hAnsi="Verdana"/>
          <w:b/>
          <w:i/>
          <w:sz w:val="18"/>
          <w:szCs w:val="18"/>
        </w:rPr>
        <w:t>Note:</w:t>
      </w:r>
      <w:r>
        <w:rPr>
          <w:rFonts w:ascii="Verdana" w:hAnsi="Verdana"/>
          <w:i/>
          <w:sz w:val="18"/>
          <w:szCs w:val="18"/>
        </w:rPr>
        <w:t xml:space="preserve"> </w:t>
      </w:r>
      <w:r w:rsidR="00573DE2" w:rsidRPr="00B620CE">
        <w:rPr>
          <w:rFonts w:ascii="Verdana" w:hAnsi="Verdana"/>
          <w:i/>
          <w:sz w:val="18"/>
          <w:szCs w:val="18"/>
        </w:rPr>
        <w:t xml:space="preserve">Self-Pay clients will be assessed annually for changes in income and/or adjustments to their self-pay agreement. </w:t>
      </w:r>
    </w:p>
    <w:sectPr w:rsidR="00082846" w:rsidRPr="008501F5" w:rsidSect="00A0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905C" w14:textId="77777777" w:rsidR="002C36BA" w:rsidRDefault="002C36BA" w:rsidP="008501F5">
      <w:pPr>
        <w:spacing w:after="0" w:line="240" w:lineRule="auto"/>
      </w:pPr>
      <w:r>
        <w:separator/>
      </w:r>
    </w:p>
  </w:endnote>
  <w:endnote w:type="continuationSeparator" w:id="0">
    <w:p w14:paraId="75810B0B" w14:textId="77777777" w:rsidR="002C36BA" w:rsidRDefault="002C36BA" w:rsidP="0085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A15B" w14:textId="77777777" w:rsidR="002C36BA" w:rsidRDefault="002C36BA" w:rsidP="008501F5">
      <w:pPr>
        <w:spacing w:after="0" w:line="240" w:lineRule="auto"/>
      </w:pPr>
      <w:r>
        <w:separator/>
      </w:r>
    </w:p>
  </w:footnote>
  <w:footnote w:type="continuationSeparator" w:id="0">
    <w:p w14:paraId="5A62D1F0" w14:textId="77777777" w:rsidR="002C36BA" w:rsidRDefault="002C36BA" w:rsidP="0085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183"/>
    <w:multiLevelType w:val="hybridMultilevel"/>
    <w:tmpl w:val="B2E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36EA"/>
    <w:multiLevelType w:val="hybridMultilevel"/>
    <w:tmpl w:val="F71C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FE"/>
    <w:rsid w:val="00082846"/>
    <w:rsid w:val="00177797"/>
    <w:rsid w:val="002C36BA"/>
    <w:rsid w:val="004B7A84"/>
    <w:rsid w:val="00573DE2"/>
    <w:rsid w:val="008501F5"/>
    <w:rsid w:val="008C5368"/>
    <w:rsid w:val="00A023FE"/>
    <w:rsid w:val="00A97D2D"/>
    <w:rsid w:val="00AB4C2D"/>
    <w:rsid w:val="00B13A78"/>
    <w:rsid w:val="00B620CE"/>
    <w:rsid w:val="00E0099D"/>
    <w:rsid w:val="00E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FBE8-23FE-4CC6-A520-4AF01D9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3F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B7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5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46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7A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7A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Leopold</dc:creator>
  <cp:keywords/>
  <dc:description/>
  <cp:lastModifiedBy>Crystal Cochrane</cp:lastModifiedBy>
  <cp:revision>3</cp:revision>
  <dcterms:created xsi:type="dcterms:W3CDTF">2020-01-23T19:51:00Z</dcterms:created>
  <dcterms:modified xsi:type="dcterms:W3CDTF">2020-01-23T19:52:00Z</dcterms:modified>
</cp:coreProperties>
</file>